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A517" w14:textId="77777777" w:rsidR="000541A4" w:rsidRDefault="000541A4" w:rsidP="000541A4">
      <w:pPr>
        <w:pStyle w:val="Title"/>
        <w:jc w:val="center"/>
        <w:rPr>
          <w:lang w:val="fr-FR"/>
        </w:rPr>
      </w:pPr>
      <w:r w:rsidRPr="000541A4">
        <w:rPr>
          <w:lang w:val="fr-FR"/>
        </w:rPr>
        <w:t>Fiche explicative</w:t>
      </w:r>
      <w:r>
        <w:rPr>
          <w:lang w:val="fr-FR"/>
        </w:rPr>
        <w:t> :</w:t>
      </w:r>
    </w:p>
    <w:p w14:paraId="345904E4" w14:textId="1D9964AF" w:rsidR="000541A4" w:rsidRDefault="000541A4" w:rsidP="00E26E04">
      <w:pPr>
        <w:pStyle w:val="Title"/>
        <w:spacing w:after="240"/>
        <w:contextualSpacing w:val="0"/>
        <w:jc w:val="center"/>
        <w:rPr>
          <w:lang w:val="fr-FR"/>
        </w:rPr>
      </w:pPr>
      <w:r w:rsidRPr="000541A4">
        <w:rPr>
          <w:lang w:val="fr-FR"/>
        </w:rPr>
        <w:t>calcul d</w:t>
      </w:r>
      <w:r>
        <w:rPr>
          <w:lang w:val="fr-FR"/>
        </w:rPr>
        <w:t>u FEDER éligible pour les projets jusqu’à 200 000 €.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962"/>
        <w:gridCol w:w="992"/>
      </w:tblGrid>
      <w:tr w:rsidR="00E26E04" w14:paraId="611C164B" w14:textId="77777777" w:rsidTr="00E26E04">
        <w:tc>
          <w:tcPr>
            <w:tcW w:w="4962" w:type="dxa"/>
            <w:tcBorders>
              <w:top w:val="nil"/>
              <w:left w:val="nil"/>
              <w:bottom w:val="nil"/>
              <w:right w:val="single" w:sz="18" w:space="0" w:color="70AD47" w:themeColor="accent6"/>
            </w:tcBorders>
          </w:tcPr>
          <w:p w14:paraId="2E230E43" w14:textId="1B99F6E9" w:rsidR="00E26E04" w:rsidRDefault="00E26E04" w:rsidP="00E26E04">
            <w:pPr>
              <w:ind w:left="1134" w:right="2222"/>
              <w:jc w:val="center"/>
              <w:rPr>
                <w:lang w:val="fr-FR"/>
              </w:rPr>
            </w:pPr>
            <w:r w:rsidRPr="0035186D">
              <w:t>Case verte</w:t>
            </w:r>
          </w:p>
        </w:tc>
        <w:tc>
          <w:tcPr>
            <w:tcW w:w="992" w:type="dxa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  <w:shd w:val="clear" w:color="auto" w:fill="auto"/>
          </w:tcPr>
          <w:p w14:paraId="11E6DF95" w14:textId="77777777" w:rsidR="00E26E04" w:rsidRDefault="00E26E04" w:rsidP="00E26E04">
            <w:pPr>
              <w:ind w:left="1134" w:right="2222"/>
              <w:jc w:val="center"/>
              <w:rPr>
                <w:lang w:val="fr-FR"/>
              </w:rPr>
            </w:pPr>
          </w:p>
        </w:tc>
      </w:tr>
    </w:tbl>
    <w:p w14:paraId="0D9019CF" w14:textId="77777777" w:rsidR="00E26E04" w:rsidRPr="00401014" w:rsidRDefault="00E26E04" w:rsidP="00E26E04">
      <w:pPr>
        <w:spacing w:after="0"/>
        <w:ind w:left="1134" w:right="2222"/>
        <w:jc w:val="center"/>
        <w:rPr>
          <w:sz w:val="8"/>
          <w:szCs w:val="8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962"/>
        <w:gridCol w:w="992"/>
      </w:tblGrid>
      <w:tr w:rsidR="00E26E04" w:rsidRPr="00E26E04" w14:paraId="636091CD" w14:textId="77777777" w:rsidTr="00E26E04">
        <w:tc>
          <w:tcPr>
            <w:tcW w:w="4962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6C3AD684" w14:textId="7CA21525" w:rsidR="00E26E04" w:rsidRPr="00E26E04" w:rsidRDefault="00E26E04" w:rsidP="00E26E04">
            <w:pPr>
              <w:ind w:left="1134" w:right="2222"/>
              <w:jc w:val="center"/>
            </w:pPr>
            <w:r w:rsidRPr="00E26E04">
              <w:t>Case rouge</w:t>
            </w:r>
          </w:p>
        </w:tc>
        <w:tc>
          <w:tcPr>
            <w:tcW w:w="99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8446843" w14:textId="77777777" w:rsidR="00E26E04" w:rsidRPr="00E26E04" w:rsidRDefault="00E26E04" w:rsidP="00E26E04">
            <w:pPr>
              <w:ind w:left="1134" w:right="2222"/>
              <w:jc w:val="center"/>
            </w:pPr>
          </w:p>
        </w:tc>
      </w:tr>
    </w:tbl>
    <w:p w14:paraId="0AC65FE9" w14:textId="77777777" w:rsidR="00E26E04" w:rsidRPr="00401014" w:rsidRDefault="00E26E04" w:rsidP="00E26E04">
      <w:pPr>
        <w:spacing w:after="0"/>
        <w:ind w:left="1134" w:right="2222"/>
        <w:jc w:val="center"/>
        <w:rPr>
          <w:sz w:val="8"/>
          <w:szCs w:val="8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962"/>
        <w:gridCol w:w="992"/>
      </w:tblGrid>
      <w:tr w:rsidR="00E26E04" w14:paraId="771F405D" w14:textId="77777777" w:rsidTr="00E26E04">
        <w:tc>
          <w:tcPr>
            <w:tcW w:w="4962" w:type="dxa"/>
            <w:tcBorders>
              <w:top w:val="nil"/>
              <w:left w:val="nil"/>
              <w:bottom w:val="nil"/>
              <w:right w:val="single" w:sz="18" w:space="0" w:color="00B0F0"/>
            </w:tcBorders>
          </w:tcPr>
          <w:p w14:paraId="775A1979" w14:textId="77777777" w:rsidR="00E26E04" w:rsidRDefault="00E26E04" w:rsidP="00E26E04">
            <w:pPr>
              <w:ind w:left="1134" w:right="2222"/>
              <w:jc w:val="center"/>
              <w:rPr>
                <w:lang w:val="fr-FR"/>
              </w:rPr>
            </w:pPr>
            <w:r w:rsidRPr="0035186D">
              <w:t>Case bleue</w:t>
            </w:r>
          </w:p>
        </w:tc>
        <w:tc>
          <w:tcPr>
            <w:tcW w:w="992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14:paraId="56904120" w14:textId="77777777" w:rsidR="00E26E04" w:rsidRDefault="00E26E04" w:rsidP="00E26E04">
            <w:pPr>
              <w:ind w:left="1134" w:right="2222"/>
              <w:jc w:val="center"/>
              <w:rPr>
                <w:lang w:val="fr-FR"/>
              </w:rPr>
            </w:pPr>
          </w:p>
        </w:tc>
      </w:tr>
    </w:tbl>
    <w:p w14:paraId="04F52487" w14:textId="77777777" w:rsidR="00E26E04" w:rsidRPr="00401014" w:rsidRDefault="00E26E04" w:rsidP="00E26E04">
      <w:pPr>
        <w:spacing w:after="0"/>
        <w:ind w:left="1134" w:right="2222"/>
        <w:jc w:val="center"/>
        <w:rPr>
          <w:sz w:val="8"/>
          <w:szCs w:val="8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962"/>
        <w:gridCol w:w="992"/>
      </w:tblGrid>
      <w:tr w:rsidR="00E26E04" w14:paraId="49ECB84D" w14:textId="77777777" w:rsidTr="00E26E04">
        <w:tc>
          <w:tcPr>
            <w:tcW w:w="4962" w:type="dxa"/>
            <w:tcBorders>
              <w:top w:val="nil"/>
              <w:left w:val="nil"/>
              <w:bottom w:val="nil"/>
              <w:right w:val="single" w:sz="18" w:space="0" w:color="ED7D31" w:themeColor="accent2"/>
            </w:tcBorders>
          </w:tcPr>
          <w:p w14:paraId="4B870285" w14:textId="33FD125D" w:rsidR="00E26E04" w:rsidRDefault="00E26E04" w:rsidP="00E26E04">
            <w:pPr>
              <w:ind w:left="1168" w:right="2222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r w:rsidRPr="0035186D">
              <w:rPr>
                <w:lang w:val="fr-FR"/>
              </w:rPr>
              <w:t>Case orange</w:t>
            </w:r>
          </w:p>
        </w:tc>
        <w:tc>
          <w:tcPr>
            <w:tcW w:w="992" w:type="dxa"/>
            <w:tcBorders>
              <w:top w:val="single" w:sz="18" w:space="0" w:color="ED7D31" w:themeColor="accent2"/>
              <w:left w:val="single" w:sz="18" w:space="0" w:color="ED7D31" w:themeColor="accent2"/>
              <w:bottom w:val="single" w:sz="18" w:space="0" w:color="ED7D31" w:themeColor="accent2"/>
              <w:right w:val="single" w:sz="18" w:space="0" w:color="ED7D31" w:themeColor="accent2"/>
            </w:tcBorders>
          </w:tcPr>
          <w:p w14:paraId="157879FE" w14:textId="77777777" w:rsidR="00E26E04" w:rsidRDefault="00E26E04" w:rsidP="00E26E04">
            <w:pPr>
              <w:ind w:left="1134" w:right="2222"/>
              <w:jc w:val="center"/>
              <w:rPr>
                <w:lang w:val="fr-FR"/>
              </w:rPr>
            </w:pPr>
          </w:p>
        </w:tc>
      </w:tr>
    </w:tbl>
    <w:p w14:paraId="19673033" w14:textId="77777777" w:rsidR="00E26E04" w:rsidRPr="00401014" w:rsidRDefault="00E26E04" w:rsidP="00E26E04">
      <w:pPr>
        <w:spacing w:after="0"/>
        <w:ind w:left="1134" w:right="2222"/>
        <w:jc w:val="center"/>
        <w:rPr>
          <w:sz w:val="8"/>
          <w:szCs w:val="8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962"/>
        <w:gridCol w:w="992"/>
      </w:tblGrid>
      <w:tr w:rsidR="00E26E04" w14:paraId="0927573D" w14:textId="77777777" w:rsidTr="00E26E04">
        <w:tc>
          <w:tcPr>
            <w:tcW w:w="4962" w:type="dxa"/>
            <w:tcBorders>
              <w:top w:val="nil"/>
              <w:left w:val="nil"/>
              <w:bottom w:val="nil"/>
              <w:right w:val="single" w:sz="18" w:space="0" w:color="7030A0"/>
            </w:tcBorders>
          </w:tcPr>
          <w:p w14:paraId="26B0E048" w14:textId="05391AA1" w:rsidR="00E26E04" w:rsidRDefault="00E26E04" w:rsidP="00E26E04">
            <w:pPr>
              <w:ind w:left="1134" w:right="2222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  </w:t>
            </w:r>
            <w:r w:rsidRPr="0035186D">
              <w:rPr>
                <w:lang w:val="fr-FR"/>
              </w:rPr>
              <w:t>Case violette</w:t>
            </w:r>
          </w:p>
        </w:tc>
        <w:tc>
          <w:tcPr>
            <w:tcW w:w="992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6A98F622" w14:textId="77777777" w:rsidR="00E26E04" w:rsidRDefault="00E26E04" w:rsidP="00E26E04">
            <w:pPr>
              <w:ind w:left="1134" w:right="2222"/>
              <w:jc w:val="center"/>
              <w:rPr>
                <w:lang w:val="fr-FR"/>
              </w:rPr>
            </w:pPr>
          </w:p>
        </w:tc>
      </w:tr>
    </w:tbl>
    <w:p w14:paraId="454A6D51" w14:textId="77777777" w:rsidR="00E26E04" w:rsidRDefault="00E26E04" w:rsidP="00E26E04">
      <w:pPr>
        <w:spacing w:after="0"/>
        <w:rPr>
          <w:lang w:val="fr-FR"/>
        </w:rPr>
      </w:pPr>
    </w:p>
    <w:p w14:paraId="74D326E4" w14:textId="61872077" w:rsidR="00FD6190" w:rsidRDefault="00250C95" w:rsidP="00250C95">
      <w:pPr>
        <w:jc w:val="both"/>
        <w:rPr>
          <w:lang w:val="fr-FR"/>
        </w:rPr>
      </w:pPr>
      <w:r w:rsidRPr="00250C95">
        <w:rPr>
          <w:lang w:val="fr-FR"/>
        </w:rPr>
        <w:t>La manière de remplir c</w:t>
      </w:r>
      <w:r>
        <w:rPr>
          <w:lang w:val="fr-FR"/>
        </w:rPr>
        <w:t xml:space="preserve">e tableau ne suit pas </w:t>
      </w:r>
      <w:r w:rsidR="00B1519C">
        <w:rPr>
          <w:lang w:val="fr-FR"/>
        </w:rPr>
        <w:t xml:space="preserve">de </w:t>
      </w:r>
      <w:r>
        <w:rPr>
          <w:lang w:val="fr-FR"/>
        </w:rPr>
        <w:t xml:space="preserve">logique linéaire. Les calculs des différents tableaux dépendent d’informations </w:t>
      </w:r>
      <w:r w:rsidR="00B1519C">
        <w:rPr>
          <w:lang w:val="fr-FR"/>
        </w:rPr>
        <w:t>issu</w:t>
      </w:r>
      <w:r w:rsidR="007259E7">
        <w:rPr>
          <w:lang w:val="fr-FR"/>
        </w:rPr>
        <w:t>e</w:t>
      </w:r>
      <w:r w:rsidR="00B1519C">
        <w:rPr>
          <w:lang w:val="fr-FR"/>
        </w:rPr>
        <w:t xml:space="preserve">s </w:t>
      </w:r>
      <w:r>
        <w:rPr>
          <w:lang w:val="fr-FR"/>
        </w:rPr>
        <w:t xml:space="preserve">d’autres tableaux du document mais dont les informations ne sont pas directement </w:t>
      </w:r>
      <w:r w:rsidR="003C7BD4">
        <w:rPr>
          <w:lang w:val="fr-FR"/>
        </w:rPr>
        <w:t>liées</w:t>
      </w:r>
      <w:r>
        <w:rPr>
          <w:lang w:val="fr-FR"/>
        </w:rPr>
        <w:t xml:space="preserve"> les unes aux autres.</w:t>
      </w:r>
    </w:p>
    <w:p w14:paraId="6C024EF2" w14:textId="26475C0F" w:rsidR="003C7BD4" w:rsidRPr="00E26E04" w:rsidRDefault="003C7BD4" w:rsidP="003C7BD4">
      <w:pPr>
        <w:spacing w:after="0"/>
        <w:jc w:val="both"/>
        <w:rPr>
          <w:lang w:val="fr-FR"/>
        </w:rPr>
      </w:pPr>
      <w:r w:rsidRPr="00E26E04">
        <w:rPr>
          <w:lang w:val="fr-FR"/>
        </w:rPr>
        <w:t xml:space="preserve">La case </w:t>
      </w:r>
      <w:r w:rsidRPr="00E26E04">
        <w:rPr>
          <w:shd w:val="clear" w:color="auto" w:fill="70AD47" w:themeFill="accent6"/>
          <w:lang w:val="fr-FR"/>
        </w:rPr>
        <w:t>verte</w:t>
      </w:r>
      <w:r w:rsidRPr="00E26E04">
        <w:rPr>
          <w:lang w:val="fr-FR"/>
        </w:rPr>
        <w:t xml:space="preserve"> détermine la langue </w:t>
      </w:r>
      <w:r w:rsidR="00B1519C" w:rsidRPr="00E26E04">
        <w:rPr>
          <w:lang w:val="fr-FR"/>
        </w:rPr>
        <w:t>de saisie / de travail</w:t>
      </w:r>
      <w:r w:rsidRPr="00E26E04">
        <w:rPr>
          <w:lang w:val="fr-FR"/>
        </w:rPr>
        <w:t> :</w:t>
      </w:r>
      <w:r w:rsidR="007259E7" w:rsidRPr="00E26E04">
        <w:rPr>
          <w:lang w:val="fr-FR"/>
        </w:rPr>
        <w:t xml:space="preserve"> </w:t>
      </w:r>
      <w:r w:rsidRPr="00E26E04">
        <w:rPr>
          <w:lang w:val="fr-FR"/>
        </w:rPr>
        <w:t>FR / français</w:t>
      </w:r>
      <w:r w:rsidRPr="00E26E04">
        <w:rPr>
          <w:lang w:val="fr-FR"/>
        </w:rPr>
        <w:tab/>
        <w:t xml:space="preserve">DE / allemand </w:t>
      </w:r>
    </w:p>
    <w:p w14:paraId="6F7529B9" w14:textId="420B6162" w:rsidR="003C7BD4" w:rsidRPr="00E26E04" w:rsidRDefault="003C7BD4" w:rsidP="00250C95">
      <w:pPr>
        <w:jc w:val="both"/>
        <w:rPr>
          <w:lang w:val="fr-FR"/>
        </w:rPr>
      </w:pPr>
      <w:r w:rsidRPr="00E26E04">
        <w:rPr>
          <w:lang w:val="fr-FR"/>
        </w:rPr>
        <w:t>Il n’</w:t>
      </w:r>
      <w:r w:rsidR="00906320" w:rsidRPr="00E26E04">
        <w:rPr>
          <w:lang w:val="fr-FR"/>
        </w:rPr>
        <w:t xml:space="preserve">y </w:t>
      </w:r>
      <w:r w:rsidRPr="00E26E04">
        <w:rPr>
          <w:lang w:val="fr-FR"/>
        </w:rPr>
        <w:t>a pas d’option pour l’anglais comme dans Jems.</w:t>
      </w:r>
      <w:r w:rsidR="00B1519C" w:rsidRPr="00E26E04">
        <w:rPr>
          <w:lang w:val="fr-FR"/>
        </w:rPr>
        <w:t xml:space="preserve"> Pour modifier la langue, il suffit de saisir FR ou DE dans la case verte. </w:t>
      </w:r>
    </w:p>
    <w:p w14:paraId="229E1417" w14:textId="078D0A66" w:rsidR="003C7BD4" w:rsidRPr="00E26E04" w:rsidRDefault="003C7BD4" w:rsidP="00071345">
      <w:pPr>
        <w:spacing w:after="0"/>
        <w:jc w:val="both"/>
        <w:rPr>
          <w:lang w:val="fr-FR"/>
        </w:rPr>
      </w:pPr>
      <w:r w:rsidRPr="00E26E04">
        <w:rPr>
          <w:lang w:val="fr-FR"/>
        </w:rPr>
        <w:t xml:space="preserve">La case </w:t>
      </w:r>
      <w:r w:rsidRPr="00E26E04">
        <w:rPr>
          <w:shd w:val="clear" w:color="auto" w:fill="FF0000"/>
          <w:lang w:val="fr-FR"/>
        </w:rPr>
        <w:t>rouge</w:t>
      </w:r>
      <w:r w:rsidRPr="00E26E04">
        <w:rPr>
          <w:lang w:val="fr-FR"/>
        </w:rPr>
        <w:t xml:space="preserve"> présente un aperçu synthétique des informations générales du projet. Notamment son nom, </w:t>
      </w:r>
      <w:r w:rsidR="001E5370" w:rsidRPr="00E26E04">
        <w:rPr>
          <w:lang w:val="fr-FR"/>
        </w:rPr>
        <w:t xml:space="preserve">la priorité </w:t>
      </w:r>
      <w:r w:rsidRPr="00E26E04">
        <w:rPr>
          <w:lang w:val="fr-FR"/>
        </w:rPr>
        <w:t xml:space="preserve">et le cas échéant la </w:t>
      </w:r>
      <w:r w:rsidR="00E26E04">
        <w:rPr>
          <w:lang w:val="fr-FR"/>
        </w:rPr>
        <w:t>ZF</w:t>
      </w:r>
      <w:r w:rsidRPr="00E26E04">
        <w:rPr>
          <w:lang w:val="fr-FR"/>
        </w:rPr>
        <w:t xml:space="preserve"> dans laquelle le projet </w:t>
      </w:r>
      <w:r w:rsidR="001E5370" w:rsidRPr="00E26E04">
        <w:rPr>
          <w:lang w:val="fr-FR"/>
        </w:rPr>
        <w:t xml:space="preserve">est </w:t>
      </w:r>
      <w:r w:rsidRPr="00E26E04">
        <w:rPr>
          <w:lang w:val="fr-FR"/>
        </w:rPr>
        <w:t xml:space="preserve">mis en œuvre. </w:t>
      </w:r>
      <w:r w:rsidR="001E5370" w:rsidRPr="00E26E04">
        <w:rPr>
          <w:lang w:val="fr-FR"/>
        </w:rPr>
        <w:t xml:space="preserve">Elle </w:t>
      </w:r>
      <w:r w:rsidRPr="00E26E04">
        <w:rPr>
          <w:lang w:val="fr-FR"/>
        </w:rPr>
        <w:t>indique également le nombre de partenaires ainsi que sa durée de mise en œuvre.</w:t>
      </w:r>
    </w:p>
    <w:p w14:paraId="5050DD20" w14:textId="5577B336" w:rsidR="003C7BD4" w:rsidRPr="00E26E04" w:rsidRDefault="003C7BD4" w:rsidP="00250C95">
      <w:pPr>
        <w:jc w:val="both"/>
        <w:rPr>
          <w:lang w:val="fr-FR"/>
        </w:rPr>
      </w:pPr>
      <w:r w:rsidRPr="00E26E04">
        <w:rPr>
          <w:lang w:val="fr-FR"/>
        </w:rPr>
        <w:t xml:space="preserve">Cette case est à remplir en </w:t>
      </w:r>
      <w:r w:rsidRPr="00E26E04">
        <w:rPr>
          <w:b/>
          <w:bCs/>
          <w:lang w:val="fr-FR"/>
        </w:rPr>
        <w:t>premier</w:t>
      </w:r>
      <w:r w:rsidRPr="00E26E04">
        <w:rPr>
          <w:lang w:val="fr-FR"/>
        </w:rPr>
        <w:t xml:space="preserve"> afin que les calculs dans les autres sections puissent être </w:t>
      </w:r>
      <w:r w:rsidR="001E5370" w:rsidRPr="00E26E04">
        <w:rPr>
          <w:lang w:val="fr-FR"/>
        </w:rPr>
        <w:t>effectués</w:t>
      </w:r>
      <w:r w:rsidRPr="00E26E04">
        <w:rPr>
          <w:lang w:val="fr-FR"/>
        </w:rPr>
        <w:t>.</w:t>
      </w:r>
    </w:p>
    <w:p w14:paraId="69BA4158" w14:textId="3B4B7BAA" w:rsidR="001E5370" w:rsidRPr="00E26E04" w:rsidRDefault="001E5370" w:rsidP="001E5370">
      <w:pPr>
        <w:jc w:val="both"/>
        <w:rPr>
          <w:lang w:val="fr-FR"/>
        </w:rPr>
      </w:pPr>
      <w:r w:rsidRPr="00E26E04">
        <w:rPr>
          <w:lang w:val="fr-FR"/>
        </w:rPr>
        <w:t xml:space="preserve">La case </w:t>
      </w:r>
      <w:r w:rsidRPr="00E26E04">
        <w:rPr>
          <w:shd w:val="clear" w:color="auto" w:fill="ED7D31" w:themeFill="accent2"/>
          <w:lang w:val="fr-FR"/>
        </w:rPr>
        <w:t>orange</w:t>
      </w:r>
      <w:r w:rsidRPr="00E26E04">
        <w:rPr>
          <w:lang w:val="fr-FR"/>
        </w:rPr>
        <w:t xml:space="preserve"> est à remplir en </w:t>
      </w:r>
      <w:r w:rsidRPr="00E26E04">
        <w:rPr>
          <w:b/>
          <w:bCs/>
          <w:lang w:val="fr-FR"/>
        </w:rPr>
        <w:t>deuxième</w:t>
      </w:r>
      <w:r w:rsidRPr="00E26E04">
        <w:rPr>
          <w:lang w:val="fr-FR"/>
        </w:rPr>
        <w:t>. Cette case contient les options de coûts simplifiés (OCS) des projets classiques. Ces OCS doivent être déduit</w:t>
      </w:r>
      <w:r w:rsidR="00FB63FC">
        <w:rPr>
          <w:lang w:val="fr-FR"/>
        </w:rPr>
        <w:t>e</w:t>
      </w:r>
      <w:r w:rsidRPr="00E26E04">
        <w:rPr>
          <w:lang w:val="fr-FR"/>
        </w:rPr>
        <w:t>s du montant global avant que les OCS pour les projets jusqu’à 200K p</w:t>
      </w:r>
      <w:r w:rsidR="007259E7" w:rsidRPr="00E26E04">
        <w:rPr>
          <w:lang w:val="fr-FR"/>
        </w:rPr>
        <w:t>uissen</w:t>
      </w:r>
      <w:r w:rsidRPr="00E26E04">
        <w:rPr>
          <w:lang w:val="fr-FR"/>
        </w:rPr>
        <w:t>t être calculé</w:t>
      </w:r>
      <w:r w:rsidR="00FB63FC">
        <w:rPr>
          <w:lang w:val="fr-FR"/>
        </w:rPr>
        <w:t>e</w:t>
      </w:r>
      <w:r w:rsidRPr="00E26E04">
        <w:rPr>
          <w:lang w:val="fr-FR"/>
        </w:rPr>
        <w:t>s.</w:t>
      </w:r>
    </w:p>
    <w:p w14:paraId="51AEEA5C" w14:textId="57A863FA" w:rsidR="007259E7" w:rsidRPr="00E26E04" w:rsidRDefault="001E5370" w:rsidP="001E5370">
      <w:pPr>
        <w:jc w:val="both"/>
        <w:rPr>
          <w:lang w:val="fr-FR"/>
        </w:rPr>
      </w:pPr>
      <w:r w:rsidRPr="00E26E04">
        <w:rPr>
          <w:lang w:val="fr-FR"/>
        </w:rPr>
        <w:t xml:space="preserve">La case </w:t>
      </w:r>
      <w:r w:rsidRPr="00E26E04">
        <w:rPr>
          <w:shd w:val="clear" w:color="auto" w:fill="9751CB"/>
          <w:lang w:val="fr-FR"/>
        </w:rPr>
        <w:t>violette</w:t>
      </w:r>
      <w:r w:rsidRPr="00E26E04">
        <w:rPr>
          <w:lang w:val="fr-FR"/>
        </w:rPr>
        <w:t xml:space="preserve"> est à remplir en </w:t>
      </w:r>
      <w:r w:rsidRPr="00E26E04">
        <w:rPr>
          <w:b/>
          <w:bCs/>
          <w:lang w:val="fr-FR"/>
        </w:rPr>
        <w:t>troisième</w:t>
      </w:r>
      <w:r w:rsidRPr="00E26E04">
        <w:rPr>
          <w:lang w:val="fr-FR"/>
        </w:rPr>
        <w:t xml:space="preserve">. Cette case contient les OCS pour les projets jusqu’à 200K. Les informations indiquées dans les cases </w:t>
      </w:r>
      <w:r w:rsidRPr="00E26E04">
        <w:rPr>
          <w:shd w:val="clear" w:color="auto" w:fill="FF0000"/>
          <w:lang w:val="fr-FR"/>
        </w:rPr>
        <w:t>rouges</w:t>
      </w:r>
      <w:r w:rsidRPr="00E26E04">
        <w:rPr>
          <w:lang w:val="fr-FR"/>
        </w:rPr>
        <w:t xml:space="preserve"> et </w:t>
      </w:r>
      <w:r w:rsidR="00E26E04" w:rsidRPr="00E26E04">
        <w:rPr>
          <w:shd w:val="clear" w:color="auto" w:fill="ED7D31" w:themeFill="accent2"/>
          <w:lang w:val="fr-FR"/>
        </w:rPr>
        <w:t>oranges</w:t>
      </w:r>
      <w:r w:rsidRPr="00E26E04">
        <w:rPr>
          <w:lang w:val="fr-FR"/>
        </w:rPr>
        <w:t xml:space="preserve"> servent à calculer les montants disponibles au projet. C’est alors aux partenaires du projet de répartir les montants dans les catégories de dépenses, </w:t>
      </w:r>
      <w:r w:rsidR="00906320" w:rsidRPr="00E26E04">
        <w:rPr>
          <w:lang w:val="fr-FR"/>
        </w:rPr>
        <w:t>se</w:t>
      </w:r>
      <w:r w:rsidRPr="00E26E04">
        <w:rPr>
          <w:lang w:val="fr-FR"/>
        </w:rPr>
        <w:t xml:space="preserve">lon les besoins des différents partenaires. </w:t>
      </w:r>
      <w:r w:rsidR="007259E7" w:rsidRPr="00E26E04">
        <w:rPr>
          <w:lang w:val="fr-FR"/>
        </w:rPr>
        <w:t>La case bleue des cofinancements peut correctement être remplie uniquement après que cette répartition a été finalisée.</w:t>
      </w:r>
    </w:p>
    <w:p w14:paraId="35892AEF" w14:textId="240D2D6D" w:rsidR="003C7BD4" w:rsidRPr="00E26E04" w:rsidRDefault="003C7BD4" w:rsidP="00071345">
      <w:pPr>
        <w:spacing w:after="0"/>
        <w:jc w:val="both"/>
        <w:rPr>
          <w:lang w:val="fr-FR"/>
        </w:rPr>
      </w:pPr>
      <w:r w:rsidRPr="00E26E04">
        <w:rPr>
          <w:lang w:val="fr-FR"/>
        </w:rPr>
        <w:t xml:space="preserve">La case </w:t>
      </w:r>
      <w:r w:rsidRPr="00E26E04">
        <w:rPr>
          <w:shd w:val="clear" w:color="auto" w:fill="00B0F0"/>
          <w:lang w:val="fr-FR"/>
        </w:rPr>
        <w:t>bleue</w:t>
      </w:r>
      <w:r w:rsidRPr="00E26E04">
        <w:rPr>
          <w:lang w:val="fr-FR"/>
        </w:rPr>
        <w:t xml:space="preserve"> présente les cofinancements que le projet </w:t>
      </w:r>
      <w:r w:rsidR="00906320" w:rsidRPr="00E26E04">
        <w:rPr>
          <w:lang w:val="fr-FR"/>
        </w:rPr>
        <w:t>doit</w:t>
      </w:r>
      <w:r w:rsidRPr="00E26E04">
        <w:rPr>
          <w:lang w:val="fr-FR"/>
        </w:rPr>
        <w:t xml:space="preserve"> apporter en contrepartie </w:t>
      </w:r>
      <w:r w:rsidR="00906320" w:rsidRPr="00E26E04">
        <w:rPr>
          <w:lang w:val="fr-FR"/>
        </w:rPr>
        <w:t xml:space="preserve">du </w:t>
      </w:r>
      <w:r w:rsidRPr="00E26E04">
        <w:rPr>
          <w:lang w:val="fr-FR"/>
        </w:rPr>
        <w:t xml:space="preserve">cofinancement FEDER </w:t>
      </w:r>
      <w:r w:rsidR="001E5370" w:rsidRPr="00E26E04">
        <w:rPr>
          <w:lang w:val="fr-FR"/>
        </w:rPr>
        <w:t xml:space="preserve">versé par </w:t>
      </w:r>
      <w:r w:rsidRPr="00E26E04">
        <w:rPr>
          <w:lang w:val="fr-FR"/>
        </w:rPr>
        <w:t xml:space="preserve">le </w:t>
      </w:r>
      <w:r w:rsidR="00906320" w:rsidRPr="00E26E04">
        <w:rPr>
          <w:lang w:val="fr-FR"/>
        </w:rPr>
        <w:t>P</w:t>
      </w:r>
      <w:r w:rsidRPr="00E26E04">
        <w:rPr>
          <w:lang w:val="fr-FR"/>
        </w:rPr>
        <w:t xml:space="preserve">rogramme. </w:t>
      </w:r>
      <w:r w:rsidR="007259E7" w:rsidRPr="00E26E04">
        <w:rPr>
          <w:lang w:val="fr-FR"/>
        </w:rPr>
        <w:t>Ils</w:t>
      </w:r>
      <w:r w:rsidRPr="00E26E04">
        <w:rPr>
          <w:lang w:val="fr-FR"/>
        </w:rPr>
        <w:t xml:space="preserve"> sont répartis en cofinancements via des fonds privés ou des fonds publics ainsi que des </w:t>
      </w:r>
      <w:r w:rsidR="00906320" w:rsidRPr="00E26E04">
        <w:rPr>
          <w:lang w:val="fr-FR"/>
        </w:rPr>
        <w:t>co</w:t>
      </w:r>
      <w:r w:rsidRPr="00E26E04">
        <w:rPr>
          <w:lang w:val="fr-FR"/>
        </w:rPr>
        <w:t>financements</w:t>
      </w:r>
      <w:r w:rsidR="00906320" w:rsidRPr="00E26E04">
        <w:rPr>
          <w:lang w:val="fr-FR"/>
        </w:rPr>
        <w:t xml:space="preserve"> via les</w:t>
      </w:r>
      <w:r w:rsidRPr="00E26E04">
        <w:rPr>
          <w:lang w:val="fr-FR"/>
        </w:rPr>
        <w:t xml:space="preserve"> fonds propres </w:t>
      </w:r>
      <w:r w:rsidR="00906320" w:rsidRPr="00E26E04">
        <w:rPr>
          <w:lang w:val="fr-FR"/>
        </w:rPr>
        <w:t>des</w:t>
      </w:r>
      <w:r w:rsidRPr="00E26E04">
        <w:rPr>
          <w:lang w:val="fr-FR"/>
        </w:rPr>
        <w:t xml:space="preserve"> partenaires du projet.</w:t>
      </w:r>
    </w:p>
    <w:p w14:paraId="5EA14F5B" w14:textId="5A82F304" w:rsidR="003C7BD4" w:rsidRDefault="003C7BD4" w:rsidP="003C7BD4">
      <w:pPr>
        <w:jc w:val="both"/>
        <w:rPr>
          <w:lang w:val="fr-FR"/>
        </w:rPr>
      </w:pPr>
      <w:r w:rsidRPr="00E26E04">
        <w:rPr>
          <w:lang w:val="fr-FR"/>
        </w:rPr>
        <w:t xml:space="preserve">Cette case est à remplir en </w:t>
      </w:r>
      <w:r w:rsidRPr="00E26E04">
        <w:rPr>
          <w:b/>
          <w:bCs/>
          <w:lang w:val="fr-FR"/>
        </w:rPr>
        <w:t>dernier</w:t>
      </w:r>
      <w:r w:rsidRPr="00E26E04">
        <w:rPr>
          <w:lang w:val="fr-FR"/>
        </w:rPr>
        <w:t xml:space="preserve"> étant donné que </w:t>
      </w:r>
      <w:r w:rsidR="00517D32" w:rsidRPr="00E26E04">
        <w:rPr>
          <w:lang w:val="fr-FR"/>
        </w:rPr>
        <w:t>les montants des cofinancements peuvent changer selon les montants indiqués dans les différentes catégories et selon le cofinancement FEDER choisi</w:t>
      </w:r>
      <w:r w:rsidRPr="00E26E04">
        <w:rPr>
          <w:lang w:val="fr-FR"/>
        </w:rPr>
        <w:t>.</w:t>
      </w:r>
    </w:p>
    <w:p w14:paraId="2500B958" w14:textId="77777777" w:rsidR="000541A4" w:rsidRPr="00250C95" w:rsidRDefault="000541A4" w:rsidP="00250C95">
      <w:pPr>
        <w:jc w:val="both"/>
        <w:rPr>
          <w:lang w:val="fr-FR"/>
        </w:rPr>
        <w:sectPr w:rsidR="000541A4" w:rsidRPr="00250C95" w:rsidSect="000541A4">
          <w:footerReference w:type="default" r:id="rId6"/>
          <w:headerReference w:type="first" r:id="rId7"/>
          <w:footerReference w:type="firs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D025E63" w14:textId="10AD3EE3" w:rsidR="000541A4" w:rsidRDefault="00FD6190">
      <w:pPr>
        <w:rPr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80F00" wp14:editId="04079EF3">
                <wp:simplePos x="0" y="0"/>
                <wp:positionH relativeFrom="column">
                  <wp:posOffset>-1423</wp:posOffset>
                </wp:positionH>
                <wp:positionV relativeFrom="paragraph">
                  <wp:posOffset>3581116</wp:posOffset>
                </wp:positionV>
                <wp:extent cx="6395085" cy="1654810"/>
                <wp:effectExtent l="19050" t="19050" r="24765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5085" cy="16548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28A84" id="Rectangle 6" o:spid="_x0000_s1026" style="position:absolute;margin-left:-.1pt;margin-top:282pt;width:503.55pt;height:13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" filled="f" strokecolor="#00b0f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F6B04" wp14:editId="4A258897">
                <wp:simplePos x="0" y="0"/>
                <wp:positionH relativeFrom="column">
                  <wp:posOffset>-1422</wp:posOffset>
                </wp:positionH>
                <wp:positionV relativeFrom="paragraph">
                  <wp:posOffset>257886</wp:posOffset>
                </wp:positionV>
                <wp:extent cx="6395398" cy="3300730"/>
                <wp:effectExtent l="19050" t="19050" r="2476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5398" cy="33007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E3FCD" id="Rectangle 5" o:spid="_x0000_s1026" style="position:absolute;margin-left:-.1pt;margin-top:20.3pt;width:503.55pt;height:2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" filled="f" strokecolor="red" strokeweight="2.25pt"/>
            </w:pict>
          </mc:Fallback>
        </mc:AlternateContent>
      </w:r>
      <w:r w:rsidR="000541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6C5FF" wp14:editId="43FD3183">
                <wp:simplePos x="0" y="0"/>
                <wp:positionH relativeFrom="column">
                  <wp:posOffset>2685060</wp:posOffset>
                </wp:positionH>
                <wp:positionV relativeFrom="paragraph">
                  <wp:posOffset>-1</wp:posOffset>
                </wp:positionV>
                <wp:extent cx="3669030" cy="220881"/>
                <wp:effectExtent l="19050" t="19050" r="2667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030" cy="2208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AE31E" id="Rectangle 4" o:spid="_x0000_s1026" style="position:absolute;margin-left:211.4pt;margin-top:0;width:288.9pt;height: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" filled="f" strokecolor="#00b050" strokeweight="3pt"/>
            </w:pict>
          </mc:Fallback>
        </mc:AlternateContent>
      </w:r>
      <w:r w:rsidR="000541A4">
        <w:rPr>
          <w:noProof/>
        </w:rPr>
        <w:drawing>
          <wp:inline distT="0" distB="0" distL="0" distR="0" wp14:anchorId="665F5370" wp14:editId="76F3F994">
            <wp:extent cx="8782050" cy="57989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98942" cy="581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4C527" w14:textId="05FC1D77" w:rsidR="000541A4" w:rsidRDefault="00FD6190" w:rsidP="000541A4">
      <w:pPr>
        <w:jc w:val="center"/>
        <w:rPr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6EB2BA" wp14:editId="32939674">
                <wp:simplePos x="0" y="0"/>
                <wp:positionH relativeFrom="column">
                  <wp:posOffset>46346</wp:posOffset>
                </wp:positionH>
                <wp:positionV relativeFrom="paragraph">
                  <wp:posOffset>5402</wp:posOffset>
                </wp:positionV>
                <wp:extent cx="8763151" cy="5658419"/>
                <wp:effectExtent l="19050" t="1905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151" cy="565841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E879B" id="Rectangle 7" o:spid="_x0000_s1026" style="position:absolute;margin-left:3.65pt;margin-top:.45pt;width:690pt;height:44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" filled="f" strokecolor="#ed7d31 [3205]" strokeweight="3pt"/>
            </w:pict>
          </mc:Fallback>
        </mc:AlternateContent>
      </w:r>
      <w:r w:rsidR="000541A4">
        <w:rPr>
          <w:noProof/>
        </w:rPr>
        <w:drawing>
          <wp:inline distT="0" distB="0" distL="0" distR="0" wp14:anchorId="0D5F985A" wp14:editId="740D1917">
            <wp:extent cx="8761730" cy="571841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11840"/>
                    <a:stretch/>
                  </pic:blipFill>
                  <pic:spPr bwMode="auto">
                    <a:xfrm>
                      <a:off x="0" y="0"/>
                      <a:ext cx="8792056" cy="5738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AEBEF0" w14:textId="3403183A" w:rsidR="000541A4" w:rsidRDefault="00FD6190">
      <w:pPr>
        <w:rPr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718C3" wp14:editId="40E2A92D">
                <wp:simplePos x="0" y="0"/>
                <wp:positionH relativeFrom="column">
                  <wp:posOffset>-1422</wp:posOffset>
                </wp:positionH>
                <wp:positionV relativeFrom="paragraph">
                  <wp:posOffset>286602</wp:posOffset>
                </wp:positionV>
                <wp:extent cx="8863937" cy="5021807"/>
                <wp:effectExtent l="19050" t="19050" r="1397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3937" cy="502180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BF4AF" id="Rectangle 9" o:spid="_x0000_s1026" style="position:absolute;margin-left:-.1pt;margin-top:22.55pt;width:697.95pt;height:39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" filled="f" strokecolor="#7030a0" strokeweight="3pt"/>
            </w:pict>
          </mc:Fallback>
        </mc:AlternateContent>
      </w:r>
    </w:p>
    <w:p w14:paraId="6EA54922" w14:textId="0928A402" w:rsidR="000541A4" w:rsidRDefault="00FD6190">
      <w:pPr>
        <w:rPr>
          <w:lang w:val="fr-FR"/>
        </w:rPr>
      </w:pPr>
      <w:r>
        <w:rPr>
          <w:noProof/>
        </w:rPr>
        <w:drawing>
          <wp:inline distT="0" distB="0" distL="0" distR="0" wp14:anchorId="2A4589D0" wp14:editId="141E152A">
            <wp:extent cx="8863330" cy="50215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2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4DAF0" w14:textId="77777777" w:rsidR="00FD6190" w:rsidRPr="000541A4" w:rsidRDefault="00FD6190">
      <w:pPr>
        <w:rPr>
          <w:lang w:val="fr-FR"/>
        </w:rPr>
      </w:pPr>
    </w:p>
    <w:sectPr w:rsidR="00FD6190" w:rsidRPr="000541A4" w:rsidSect="000541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7542" w14:textId="77777777" w:rsidR="001E6BEB" w:rsidRDefault="001E6BEB" w:rsidP="000541A4">
      <w:pPr>
        <w:spacing w:after="0" w:line="240" w:lineRule="auto"/>
      </w:pPr>
      <w:r>
        <w:separator/>
      </w:r>
    </w:p>
  </w:endnote>
  <w:endnote w:type="continuationSeparator" w:id="0">
    <w:p w14:paraId="375A58F9" w14:textId="77777777" w:rsidR="001E6BEB" w:rsidRDefault="001E6BEB" w:rsidP="0005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071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D7D57" w14:textId="48296C4E" w:rsidR="00FD6190" w:rsidRDefault="00FD6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906320">
          <w:rPr>
            <w:noProof/>
          </w:rPr>
          <w:t>/4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279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47713" w14:textId="20E2277A" w:rsidR="00906320" w:rsidRDefault="009063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/4</w:t>
        </w:r>
      </w:p>
    </w:sdtContent>
  </w:sdt>
  <w:p w14:paraId="3B629AB3" w14:textId="77777777" w:rsidR="00906320" w:rsidRDefault="00906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5AD7" w14:textId="77777777" w:rsidR="001E6BEB" w:rsidRDefault="001E6BEB" w:rsidP="000541A4">
      <w:pPr>
        <w:spacing w:after="0" w:line="240" w:lineRule="auto"/>
      </w:pPr>
      <w:r>
        <w:separator/>
      </w:r>
    </w:p>
  </w:footnote>
  <w:footnote w:type="continuationSeparator" w:id="0">
    <w:p w14:paraId="08068A30" w14:textId="77777777" w:rsidR="001E6BEB" w:rsidRDefault="001E6BEB" w:rsidP="00054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4C23" w14:textId="25B3979B" w:rsidR="000541A4" w:rsidRDefault="000541A4">
    <w:pPr>
      <w:pStyle w:val="Header"/>
    </w:pPr>
    <w:r>
      <w:rPr>
        <w:noProof/>
      </w:rPr>
      <w:drawing>
        <wp:inline distT="0" distB="0" distL="0" distR="0" wp14:anchorId="75CBED32" wp14:editId="2B5799D7">
          <wp:extent cx="2828925" cy="853128"/>
          <wp:effectExtent l="0" t="0" r="0" b="444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256" cy="855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A4"/>
    <w:rsid w:val="000541A4"/>
    <w:rsid w:val="00071345"/>
    <w:rsid w:val="001E5370"/>
    <w:rsid w:val="001E6BEB"/>
    <w:rsid w:val="00250C95"/>
    <w:rsid w:val="003C7BD4"/>
    <w:rsid w:val="00517D32"/>
    <w:rsid w:val="007259E7"/>
    <w:rsid w:val="00832F4C"/>
    <w:rsid w:val="00906320"/>
    <w:rsid w:val="00A05823"/>
    <w:rsid w:val="00B1519C"/>
    <w:rsid w:val="00BC2F46"/>
    <w:rsid w:val="00D1586D"/>
    <w:rsid w:val="00E26E04"/>
    <w:rsid w:val="00F05732"/>
    <w:rsid w:val="00F70985"/>
    <w:rsid w:val="00FB63FC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9A78"/>
  <w15:chartTrackingRefBased/>
  <w15:docId w15:val="{FBC33C2D-715A-4A3A-92F1-6E30A2D6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1A4"/>
  </w:style>
  <w:style w:type="paragraph" w:styleId="Footer">
    <w:name w:val="footer"/>
    <w:basedOn w:val="Normal"/>
    <w:link w:val="FooterChar"/>
    <w:uiPriority w:val="99"/>
    <w:unhideWhenUsed/>
    <w:rsid w:val="00054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1A4"/>
  </w:style>
  <w:style w:type="paragraph" w:styleId="Title">
    <w:name w:val="Title"/>
    <w:basedOn w:val="Normal"/>
    <w:next w:val="Normal"/>
    <w:link w:val="TitleChar"/>
    <w:uiPriority w:val="10"/>
    <w:qFormat/>
    <w:rsid w:val="000541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B151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6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32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2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Thomas</dc:creator>
  <cp:keywords/>
  <dc:description/>
  <cp:lastModifiedBy>Romane Lombard</cp:lastModifiedBy>
  <cp:revision>4</cp:revision>
  <dcterms:created xsi:type="dcterms:W3CDTF">2024-02-13T07:23:00Z</dcterms:created>
  <dcterms:modified xsi:type="dcterms:W3CDTF">2024-02-27T07:55:00Z</dcterms:modified>
</cp:coreProperties>
</file>